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cs="Times New Roman" w:ascii="Times New Roman" w:hAnsi="Times New Roman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>
        <w:rPr>
          <w:rFonts w:eastAsia="Times New Roman" w:cs="Times New Roman" w:ascii="Times New Roman" w:hAnsi="Times New Roman"/>
          <w:lang w:eastAsia="hr-HR"/>
        </w:rPr>
        <w:t xml:space="preserve"> podnosi: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lang w:eastAsia="hr-HR"/>
        </w:rPr>
      </w:pPr>
      <w:r>
        <w:rPr>
          <w:rFonts w:eastAsia="Times New Roman" w:cs="Times New Roman" w:ascii="Times New Roman" w:hAnsi="Times New Roman"/>
          <w:b/>
          <w:i/>
          <w:lang w:eastAsia="hr-HR"/>
        </w:rPr>
        <w:t xml:space="preserve">A M A N D M A N  BROJ </w:t>
      </w:r>
      <w:r>
        <w:rPr>
          <w:rFonts w:eastAsia="Times New Roman" w:cs="Times New Roman" w:ascii="Times New Roman" w:hAnsi="Times New Roman"/>
          <w:b/>
          <w:i/>
          <w:lang w:eastAsia="hr-HR"/>
        </w:rPr>
        <w:t>9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NA </w:t>
      </w:r>
      <w:hyperlink r:id="rId2" w:tgtFrame="_blank"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PRIJEDLOG PRORAČUNA GRADA ZADRA ZA 202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. GODINU I PROJEKCIJE ZA 202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6.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 xml:space="preserve"> I 202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auto"/>
            <w:sz w:val="28"/>
            <w:szCs w:val="28"/>
            <w:u w:val="none"/>
          </w:rPr>
          <w:t>. GODINU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 xml:space="preserve">Na temelju članka 38. Zakona o proračunu („Narodne novine“ broj 87/08, 136/12 i 15/15)  i </w:t>
      </w:r>
      <w:r>
        <w:rPr>
          <w:rFonts w:cs="Times New Roman" w:ascii="Times New Roman" w:hAnsi="Times New Roman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3" w:tgtFrame="_blank"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PRIJEDLOGA PRORAČUNA GRADA ZADRA ZA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 xml:space="preserve"> GODINU I PROJEKCIJA ZA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6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. I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. GODINU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</w:rPr>
        <w:t>predlažemo slijedeće</w:t>
      </w:r>
      <w:r>
        <w:rPr>
          <w:rFonts w:eastAsia="Times New Roman" w:cs="Times New Roman" w:ascii="Times New Roman" w:hAnsi="Times New Roman"/>
          <w:b/>
          <w:lang w:eastAsia="hr-HR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 xml:space="preserve">Povećanje sredstava na </w:t>
      </w:r>
      <w:r>
        <w:rPr>
          <w:rFonts w:eastAsia="Times New Roman" w:cs="Times New Roman" w:ascii="Times New Roman" w:hAnsi="Times New Roman"/>
          <w:lang w:eastAsia="hr-HR"/>
        </w:rPr>
        <w:t>Programu 1013 Izvanstandardni programi, nova aktivnost A101324 Opremanje osnovnih skola infrastrukturom za osobe s invaliditetom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hr-HR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Program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1013 Izvanstandardni programi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Aktivnost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1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01324 Oppremanje osnovnih skola infrastrukturom za osobe s invaliditetom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Izvor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cs="Times New Roman" w:ascii="Times New Roman" w:hAnsi="Times New Roman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Povećanje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Stavka</w:t>
            </w:r>
            <w:r>
              <w:rPr>
                <w:rFonts w:cs="Times New Roman" w:ascii="Times New Roman" w:hAnsi="Times New Roman"/>
                <w:i/>
                <w:iCs/>
              </w:rPr>
              <w:t>:</w:t>
            </w:r>
            <w:r>
              <w:rPr>
                <w:rFonts w:cs="Times New Roman" w:ascii="Times New Roman" w:hAnsi="Times New Roman"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Cs/>
              </w:rPr>
              <w:t>32 Materijalni rashodi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50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.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50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  <w:t>koje će se osigurati smanjenjem sredstava na stavkama: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Program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103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8 Promicanje kulture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Aktivnost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103</w:t>
            </w:r>
            <w:r>
              <w:rPr>
                <w:rFonts w:eastAsia="Times New Roman" w:cs="Times New Roman" w:ascii="Times New Roman" w:hAnsi="Times New Roman"/>
                <w:lang w:eastAsia="hr-HR"/>
              </w:rPr>
              <w:t>803 Knjige i oprema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  <w:t>Izvor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 xml:space="preserve">: </w:t>
            </w:r>
            <w:r>
              <w:rPr>
                <w:rFonts w:cs="Times New Roman" w:ascii="Times New Roman" w:hAnsi="Times New Roman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Smanjenje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b/>
                <w:iCs/>
              </w:rPr>
              <w:t>Stavka</w:t>
            </w:r>
            <w:r>
              <w:rPr>
                <w:rFonts w:cs="Times New Roman" w:ascii="Times New Roman" w:hAnsi="Times New Roman"/>
                <w:b/>
                <w:i/>
                <w:iCs/>
              </w:rPr>
              <w:t xml:space="preserve">: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</w:rPr>
              <w:t>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57.000,00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50,000,00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lang w:eastAsia="hr-HR"/>
              </w:rPr>
              <w:t>7.000,00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lang w:eastAsia="hr-HR"/>
        </w:rPr>
      </w:pPr>
      <w:r>
        <w:rPr>
          <w:rFonts w:eastAsia="Times New Roman" w:cs="Times New Roman" w:ascii="Times New Roman" w:hAnsi="Times New Roman"/>
          <w:b/>
          <w:lang w:eastAsia="hr-HR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i/>
          <w:sz w:val="21"/>
          <w:szCs w:val="21"/>
        </w:rPr>
        <w:t xml:space="preserve">Ove promjene u </w:t>
      </w:r>
      <w:hyperlink r:id="rId4" w:tgtFrame="_blank"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PRIJEDLOGU PRORAČUNA GRADA ZADRA ZA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 xml:space="preserve"> GODINU I PROJEKCIJA ZA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6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. I 202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auto"/>
            <w:u w:val="none"/>
          </w:rPr>
          <w:t>. GODINU</w:t>
        </w:r>
      </w:hyperlink>
      <w:r>
        <w:rPr>
          <w:rFonts w:cs="Times New Roman" w:ascii="Times New Roman" w:hAnsi="Times New Roman"/>
          <w:i/>
        </w:rPr>
        <w:t xml:space="preserve"> predviđaju i povezane  promjene u </w:t>
      </w:r>
      <w:r>
        <w:rPr>
          <w:rFonts w:cs="Times New Roman" w:ascii="Times New Roman" w:hAnsi="Times New Roman"/>
        </w:rPr>
        <w:t>Prijedlogu Programa potreba u kulturi Grada Zadra u 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 Godini.</w:t>
      </w:r>
    </w:p>
    <w:p>
      <w:pPr>
        <w:pStyle w:val="Normal"/>
        <w:tabs>
          <w:tab w:val="clear" w:pos="708"/>
          <w:tab w:val="left" w:pos="6489" w:leader="none"/>
        </w:tabs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ab/>
      </w:r>
    </w:p>
    <w:p>
      <w:pPr>
        <w:pStyle w:val="Uvlakatijelateksta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OBRAZLOŽENJE AMANDMANA NA </w:t>
      </w:r>
      <w:hyperlink r:id="rId5" w:tgtFrame="_blank">
        <w:r>
          <w:rPr>
            <w:rStyle w:val="Internetskapoveznica"/>
            <w:rFonts w:cs="Times New Roman" w:ascii="Times New Roman" w:hAnsi="Times New Roman"/>
            <w:b/>
            <w:iCs/>
            <w:color w:val="auto"/>
            <w:sz w:val="24"/>
            <w:szCs w:val="24"/>
            <w:u w:val="none"/>
          </w:rPr>
          <w:t>PRIJEDLOG PRORAČUNA GRADA ZADRA ZA 2023. GODINU I PROJEKCIJE ZA 2024. I 2025. GODINU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val="000000" w:themeColor="text1"/>
        </w:rPr>
        <w:t xml:space="preserve">Ovim amandmanom umanjuju se planirana sredstva u iznosu od </w:t>
      </w:r>
      <w:r>
        <w:rPr>
          <w:rFonts w:cs="Times New Roman" w:ascii="Times New Roman" w:hAnsi="Times New Roman"/>
          <w:color w:val="000000" w:themeColor="text1"/>
        </w:rPr>
        <w:t>50</w:t>
      </w: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>.000,00</w:t>
      </w:r>
      <w:r>
        <w:rPr>
          <w:rFonts w:cs="Times New Roman" w:ascii="Times New Roman" w:hAnsi="Times New Roman"/>
          <w:color w:val="000000" w:themeColor="text1"/>
        </w:rPr>
        <w:t xml:space="preserve"> eura predviđena u programu </w:t>
      </w: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>1038 Promicanje kulture, aktivnost A103803 Knjige i oprema</w:t>
      </w:r>
      <w:r>
        <w:rPr>
          <w:rFonts w:cs="Times New Roman" w:ascii="Times New Roman" w:hAnsi="Times New Roman"/>
          <w:color w:val="000000" w:themeColor="text1"/>
        </w:rPr>
        <w:t xml:space="preserve">. </w:t>
      </w:r>
      <w:r>
        <w:rPr>
          <w:rFonts w:cs="Times New Roman" w:ascii="Times New Roman" w:hAnsi="Times New Roman"/>
        </w:rPr>
        <w:t xml:space="preserve">Sredstva se povećavaju u iznosu od </w:t>
      </w:r>
      <w:r>
        <w:rPr>
          <w:rFonts w:cs="Times New Roman" w:ascii="Times New Roman" w:hAnsi="Times New Roman"/>
        </w:rPr>
        <w:t>5</w:t>
      </w:r>
      <w:r>
        <w:rPr>
          <w:rFonts w:eastAsia="Times New Roman" w:cs="Times New Roman" w:ascii="Times New Roman" w:hAnsi="Times New Roman"/>
          <w:lang w:eastAsia="hr-HR"/>
        </w:rPr>
        <w:t>0.000,00</w:t>
      </w:r>
      <w:r>
        <w:rPr>
          <w:rFonts w:cs="Times New Roman" w:ascii="Times New Roman" w:hAnsi="Times New Roman"/>
        </w:rPr>
        <w:t xml:space="preserve"> eura na programu </w:t>
      </w:r>
      <w:r>
        <w:rPr>
          <w:rFonts w:eastAsia="Times New Roman" w:cs="Times New Roman" w:ascii="Times New Roman" w:hAnsi="Times New Roman"/>
          <w:lang w:eastAsia="hr-HR"/>
        </w:rPr>
        <w:t>1013 Izvanstandardni programi, nova aktivnost A101324 Opremanje osnovnih skola infrastrukturom za osobe s invaliditetom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Sredstvima iz ovog amandmana osigurava se povećanje u iznosu od 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0.000,00 eura za </w:t>
      </w:r>
      <w:r>
        <w:rPr>
          <w:rFonts w:cs="Times New Roman" w:ascii="Times New Roman" w:hAnsi="Times New Roman"/>
        </w:rPr>
        <w:t>nabavu i realizaciju infrastrukturnih zahtjeva za pristup osnovnim skolama osobama s invaliditetom, sto se prvenstveno odnosi na ugradnju rampe na kombi vozilu kojeg koristi OS Vostarnica i lift u Osnovnoj skoli Petar Preradovic.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Klub vijećnika Akcije Mladih</w:t>
      </w:r>
    </w:p>
    <w:p>
      <w:pPr>
        <w:pStyle w:val="ListParagraph"/>
        <w:spacing w:lineRule="auto" w:line="276" w:before="40" w:after="40"/>
        <w:ind w:left="360" w:hanging="0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spacing w:lineRule="auto" w:line="276" w:before="40" w:after="40"/>
        <w:ind w:left="6024" w:firstLine="348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 xml:space="preserve">  </w:t>
      </w:r>
      <w:r>
        <w:rPr>
          <w:rFonts w:eastAsia="Calibri" w:eastAsiaTheme="minorHAnsi"/>
          <w:b/>
          <w:sz w:val="22"/>
          <w:szCs w:val="22"/>
          <w:lang w:eastAsia="en-US"/>
        </w:rPr>
        <w:t>___________________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3a5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zh-CN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IndentChar" w:customStyle="1">
    <w:name w:val="Body Text Indent Char"/>
    <w:basedOn w:val="DefaultParagraphFont"/>
    <w:qFormat/>
    <w:rsid w:val="006d23a5"/>
    <w:rPr>
      <w:rFonts w:ascii="Arial" w:hAnsi="Arial" w:eastAsia="Times New Roman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6d23a5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d23a5"/>
    <w:pPr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</w:rPr>
  </w:style>
  <w:style w:type="paragraph" w:styleId="Uvlakatijelateksta">
    <w:name w:val="Body Text Indent"/>
    <w:basedOn w:val="Normal"/>
    <w:link w:val="BodyTextIndentChar"/>
    <w:rsid w:val="006d23a5"/>
    <w:pPr>
      <w:spacing w:lineRule="auto" w:line="240" w:before="0" w:after="0"/>
      <w:ind w:firstLine="708"/>
      <w:jc w:val="both"/>
    </w:pPr>
    <w:rPr>
      <w:rFonts w:ascii="Arial" w:hAnsi="Arial" w:eastAsia="Times New Roman" w:cs="Arial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sevan.grad-zadar.hr/GradskoVijece/SAZIV 21 - 25/GV 7 - 22.12.21/11 - Prijedlog Prora&#269;una za 2022.pdf" TargetMode="External"/><Relationship Id="rId3" Type="http://schemas.openxmlformats.org/officeDocument/2006/relationships/hyperlink" Target="https://krsevan.grad-zadar.hr/GradskoVijece/SAZIV 21 - 25/GV 7 - 22.12.21/11 - Prijedlog Prora&#269;una za 2022.pdf" TargetMode="External"/><Relationship Id="rId4" Type="http://schemas.openxmlformats.org/officeDocument/2006/relationships/hyperlink" Target="https://krsevan.grad-zadar.hr/GradskoVijece/SAZIV 21 - 25/GV 7 - 22.12.21/11 - Prijedlog Prora&#269;una za 2022.pdf" TargetMode="External"/><Relationship Id="rId5" Type="http://schemas.openxmlformats.org/officeDocument/2006/relationships/hyperlink" Target="https://krsevan.grad-zadar.hr/GradskoVijece/SAZIV 21 - 25/GV 7 - 22.12.21/11 - Prijedlog Prora&#269;una za 2022.pdf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2</Pages>
  <Words>364</Words>
  <Characters>2110</Characters>
  <CharactersWithSpaces>2453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2023-12-11T13:38:00Z</dcterms:created>
  <dc:creator>Windows User</dc:creator>
  <dc:description/>
  <dc:language>hr-HR</dc:language>
  <cp:lastModifiedBy/>
  <dcterms:modified xsi:type="dcterms:W3CDTF">2024-12-11T12:46:03Z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